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1610E" w14:textId="3688695A" w:rsidR="006A2E1D" w:rsidRDefault="006A2E1D" w:rsidP="006A2E1D">
      <w:pPr>
        <w:pStyle w:val="NormalWeb"/>
        <w:jc w:val="center"/>
        <w:rPr>
          <w:b/>
          <w:bCs/>
          <w:color w:val="7C0EDD"/>
          <w:sz w:val="40"/>
          <w:szCs w:val="40"/>
        </w:rPr>
      </w:pPr>
      <w:r>
        <w:rPr>
          <w:noProof/>
        </w:rPr>
        <w:drawing>
          <wp:anchor distT="0" distB="0" distL="114300" distR="114300" simplePos="0" relativeHeight="251661315" behindDoc="0" locked="0" layoutInCell="1" allowOverlap="1" wp14:anchorId="091C22CC" wp14:editId="3567C521">
            <wp:simplePos x="0" y="0"/>
            <wp:positionH relativeFrom="margin">
              <wp:align>right</wp:align>
            </wp:positionH>
            <wp:positionV relativeFrom="paragraph">
              <wp:posOffset>6350</wp:posOffset>
            </wp:positionV>
            <wp:extent cx="901065" cy="6800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1065" cy="680085"/>
                    </a:xfrm>
                    <a:prstGeom prst="rect">
                      <a:avLst/>
                    </a:prstGeom>
                    <a:noFill/>
                    <a:ln>
                      <a:noFill/>
                    </a:ln>
                  </pic:spPr>
                </pic:pic>
              </a:graphicData>
            </a:graphic>
            <wp14:sizeRelH relativeFrom="page">
              <wp14:pctWidth>0</wp14:pctWidth>
            </wp14:sizeRelH>
            <wp14:sizeRelV relativeFrom="page">
              <wp14:pctHeight>0</wp14:pctHeight>
            </wp14:sizeRelV>
          </wp:anchor>
        </w:drawing>
      </w:r>
      <w:r w:rsidR="00B777B5">
        <w:rPr>
          <w:b/>
          <w:bCs/>
          <w:color w:val="7C0EDD"/>
          <w:sz w:val="40"/>
          <w:szCs w:val="40"/>
        </w:rPr>
        <w:t xml:space="preserve"> </w:t>
      </w:r>
      <w:r w:rsidR="00B777B5">
        <w:rPr>
          <w:b/>
          <w:bCs/>
          <w:color w:val="7C0EDD"/>
          <w:sz w:val="40"/>
          <w:szCs w:val="40"/>
        </w:rPr>
        <w:tab/>
      </w:r>
    </w:p>
    <w:p w14:paraId="22D13E51" w14:textId="75DBF35C" w:rsidR="00F80ADF" w:rsidRDefault="00F80ADF" w:rsidP="006A2E1D">
      <w:pPr>
        <w:pStyle w:val="NormalWeb"/>
        <w:spacing w:before="0" w:beforeAutospacing="0" w:after="0" w:afterAutospacing="0"/>
        <w:ind w:left="284"/>
        <w:rPr>
          <w:rFonts w:ascii="Calibri" w:hAnsi="Calibri" w:cs="Calibri"/>
          <w:b/>
          <w:bCs/>
          <w:color w:val="7C0EDD"/>
          <w:sz w:val="40"/>
          <w:szCs w:val="40"/>
        </w:rPr>
      </w:pPr>
      <w:r w:rsidRPr="00F80ADF">
        <w:rPr>
          <w:rFonts w:ascii="Calibri" w:hAnsi="Calibri" w:cs="Calibri"/>
          <w:b/>
          <w:bCs/>
          <w:color w:val="7C0EDD"/>
          <w:sz w:val="40"/>
          <w:szCs w:val="40"/>
        </w:rPr>
        <w:t>Supporting pupils with medical conditions at school</w:t>
      </w:r>
      <w:r w:rsidRPr="00F80ADF">
        <w:rPr>
          <w:rFonts w:ascii="Calibri" w:hAnsi="Calibri" w:cs="Calibri"/>
          <w:b/>
          <w:bCs/>
          <w:color w:val="7C0EDD"/>
          <w:sz w:val="40"/>
          <w:szCs w:val="40"/>
        </w:rPr>
        <w:t xml:space="preserve"> </w:t>
      </w:r>
      <w:r>
        <w:rPr>
          <w:rFonts w:ascii="Calibri" w:hAnsi="Calibri" w:cs="Calibri"/>
          <w:b/>
          <w:bCs/>
          <w:color w:val="7C0EDD"/>
          <w:sz w:val="40"/>
          <w:szCs w:val="40"/>
        </w:rPr>
        <w:t>– Government Response</w:t>
      </w:r>
    </w:p>
    <w:p w14:paraId="0BF4BE25" w14:textId="71270F39" w:rsidR="006A2E1D" w:rsidRPr="00F80ADF" w:rsidRDefault="00F80ADF" w:rsidP="006A2E1D">
      <w:pPr>
        <w:pStyle w:val="NormalWeb"/>
        <w:spacing w:before="0" w:beforeAutospacing="0" w:after="0" w:afterAutospacing="0"/>
        <w:ind w:left="284"/>
        <w:rPr>
          <w:rFonts w:ascii="Calibri" w:hAnsi="Calibri" w:cs="Calibri"/>
          <w:b/>
          <w:bCs/>
          <w:i/>
          <w:iCs/>
          <w:color w:val="7C0EDD"/>
          <w:sz w:val="40"/>
          <w:szCs w:val="40"/>
        </w:rPr>
      </w:pPr>
      <w:r w:rsidRPr="00F80ADF">
        <w:rPr>
          <w:rFonts w:ascii="Calibri" w:hAnsi="Calibri" w:cs="Calibri"/>
          <w:b/>
          <w:bCs/>
          <w:i/>
          <w:iCs/>
          <w:color w:val="7C0EDD"/>
          <w:sz w:val="40"/>
          <w:szCs w:val="40"/>
        </w:rPr>
        <w:t>July 2026</w:t>
      </w:r>
    </w:p>
    <w:p w14:paraId="2CEF4BF5" w14:textId="45C31A3C" w:rsidR="006A2E1D" w:rsidRPr="00716E93" w:rsidRDefault="008E4580" w:rsidP="006A2E1D">
      <w:pPr>
        <w:pStyle w:val="NormalWeb"/>
        <w:spacing w:before="0" w:beforeAutospacing="0" w:after="0" w:afterAutospacing="0"/>
        <w:ind w:left="284"/>
        <w:rPr>
          <w:color w:val="7030A0"/>
          <w:sz w:val="32"/>
          <w:szCs w:val="32"/>
        </w:rPr>
      </w:pPr>
      <w:r>
        <w:rPr>
          <w:noProof/>
          <w:color w:val="7030A0"/>
          <w:sz w:val="32"/>
          <w:szCs w:val="32"/>
          <w14:ligatures w14:val="standardContextual"/>
        </w:rPr>
        <mc:AlternateContent>
          <mc:Choice Requires="wpg">
            <w:drawing>
              <wp:anchor distT="0" distB="0" distL="114300" distR="114300" simplePos="0" relativeHeight="251660291" behindDoc="0" locked="0" layoutInCell="1" allowOverlap="1" wp14:anchorId="68D241FE" wp14:editId="02200C56">
                <wp:simplePos x="0" y="0"/>
                <wp:positionH relativeFrom="column">
                  <wp:posOffset>183515</wp:posOffset>
                </wp:positionH>
                <wp:positionV relativeFrom="paragraph">
                  <wp:posOffset>69215</wp:posOffset>
                </wp:positionV>
                <wp:extent cx="6229350" cy="8020050"/>
                <wp:effectExtent l="19050" t="19050" r="19050" b="28575"/>
                <wp:wrapNone/>
                <wp:docPr id="1107200111" name="Group 1"/>
                <wp:cNvGraphicFramePr/>
                <a:graphic xmlns:a="http://schemas.openxmlformats.org/drawingml/2006/main">
                  <a:graphicData uri="http://schemas.microsoft.com/office/word/2010/wordprocessingGroup">
                    <wpg:wgp>
                      <wpg:cNvGrpSpPr/>
                      <wpg:grpSpPr>
                        <a:xfrm>
                          <a:off x="0" y="0"/>
                          <a:ext cx="6229350" cy="8020050"/>
                          <a:chOff x="-9525" y="-1"/>
                          <a:chExt cx="6229350" cy="8020050"/>
                        </a:xfrm>
                      </wpg:grpSpPr>
                      <wps:wsp>
                        <wps:cNvPr id="74993060" name="Text Box 2"/>
                        <wps:cNvSpPr txBox="1"/>
                        <wps:spPr>
                          <a:xfrm>
                            <a:off x="-9525" y="1947086"/>
                            <a:ext cx="6219825" cy="2320113"/>
                          </a:xfrm>
                          <a:prstGeom prst="rect">
                            <a:avLst/>
                          </a:prstGeom>
                          <a:solidFill>
                            <a:schemeClr val="lt1"/>
                          </a:solidFill>
                          <a:ln w="31750">
                            <a:solidFill>
                              <a:srgbClr val="3333CC"/>
                            </a:solidFill>
                          </a:ln>
                        </wps:spPr>
                        <wps:txbx>
                          <w:txbxContent>
                            <w:p w14:paraId="475719A5" w14:textId="77777777" w:rsidR="00DF4FBB" w:rsidRPr="006A2E1D" w:rsidRDefault="00DF4FBB" w:rsidP="006A2E1D">
                              <w:pPr>
                                <w:spacing w:after="0" w:line="240" w:lineRule="auto"/>
                                <w:rPr>
                                  <w:b/>
                                  <w:bCs/>
                                  <w:color w:val="3333CC"/>
                                  <w:sz w:val="28"/>
                                  <w:szCs w:val="28"/>
                                </w:rPr>
                              </w:pPr>
                              <w:r w:rsidRPr="006A2E1D">
                                <w:rPr>
                                  <w:b/>
                                  <w:bCs/>
                                  <w:color w:val="3333CC"/>
                                  <w:sz w:val="28"/>
                                  <w:szCs w:val="28"/>
                                </w:rPr>
                                <w:t>Opportunity</w:t>
                              </w:r>
                            </w:p>
                            <w:p w14:paraId="0D5067EC" w14:textId="77777777" w:rsidR="00F80ADF" w:rsidRDefault="00F80ADF" w:rsidP="00F80ADF">
                              <w:pPr>
                                <w:spacing w:after="0" w:line="240" w:lineRule="auto"/>
                                <w:rPr>
                                  <w:color w:val="auto"/>
                                  <w:sz w:val="24"/>
                                </w:rPr>
                              </w:pPr>
                              <w:r w:rsidRPr="00F80ADF">
                                <w:rPr>
                                  <w:color w:val="auto"/>
                                  <w:sz w:val="24"/>
                                </w:rPr>
                                <w:t xml:space="preserve">Across all questions: </w:t>
                              </w:r>
                            </w:p>
                            <w:p w14:paraId="11F17AC8" w14:textId="33D9239C" w:rsidR="00F80ADF" w:rsidRDefault="00F80ADF" w:rsidP="00F80ADF">
                              <w:pPr>
                                <w:pStyle w:val="ListParagraph"/>
                                <w:numPr>
                                  <w:ilvl w:val="0"/>
                                  <w:numId w:val="1"/>
                                </w:numPr>
                                <w:spacing w:after="0" w:line="240" w:lineRule="auto"/>
                                <w:rPr>
                                  <w:color w:val="auto"/>
                                  <w:sz w:val="24"/>
                                </w:rPr>
                              </w:pPr>
                              <w:r w:rsidRPr="00F80ADF">
                                <w:rPr>
                                  <w:color w:val="auto"/>
                                  <w:sz w:val="24"/>
                                </w:rPr>
                                <w:t xml:space="preserve">A clear majority of respondents strongly agreed or agreed with the proposals, demonstrating consistent support for the direction of travel. Only two questions recorded “strongly agree” levels below 60% (both approximately 58%). When combining “agree” and “strongly agree” responses, no question fell below 84% agreement, with most questions achieving between 88% and 95% agreement. </w:t>
                              </w:r>
                            </w:p>
                            <w:p w14:paraId="5CB73439" w14:textId="77777777" w:rsidR="00F80ADF" w:rsidRDefault="00F80ADF" w:rsidP="00F80ADF">
                              <w:pPr>
                                <w:pStyle w:val="ListParagraph"/>
                                <w:numPr>
                                  <w:ilvl w:val="0"/>
                                  <w:numId w:val="1"/>
                                </w:numPr>
                                <w:spacing w:after="0" w:line="240" w:lineRule="auto"/>
                                <w:rPr>
                                  <w:color w:val="auto"/>
                                  <w:sz w:val="24"/>
                                </w:rPr>
                              </w:pPr>
                              <w:r w:rsidRPr="00F80ADF">
                                <w:rPr>
                                  <w:color w:val="auto"/>
                                  <w:sz w:val="24"/>
                                </w:rPr>
                                <w:t xml:space="preserve">Support was consistent across respondent groups, including parents, education staff, senior leaders, and healthcare professionals, indicating broad cross-sector alignment. </w:t>
                              </w:r>
                            </w:p>
                            <w:p w14:paraId="73286E5C" w14:textId="66DD8EAB" w:rsidR="00DF4FBB" w:rsidRPr="00F80ADF" w:rsidRDefault="00F80ADF" w:rsidP="00F80ADF">
                              <w:pPr>
                                <w:pStyle w:val="ListParagraph"/>
                                <w:numPr>
                                  <w:ilvl w:val="0"/>
                                  <w:numId w:val="1"/>
                                </w:numPr>
                                <w:spacing w:after="0" w:line="240" w:lineRule="auto"/>
                                <w:rPr>
                                  <w:color w:val="auto"/>
                                  <w:sz w:val="24"/>
                                </w:rPr>
                              </w:pPr>
                              <w:r w:rsidRPr="00F80ADF">
                                <w:rPr>
                                  <w:color w:val="auto"/>
                                  <w:sz w:val="24"/>
                                </w:rPr>
                                <w:t>Where disagreement was expressed, this focused primarily on implementation and delivery considerations, rather than opposition to the underlying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7663808" name="Text Box 2"/>
                        <wps:cNvSpPr txBox="1"/>
                        <wps:spPr>
                          <a:xfrm>
                            <a:off x="-9525" y="4348826"/>
                            <a:ext cx="6229350" cy="3671223"/>
                          </a:xfrm>
                          <a:prstGeom prst="rect">
                            <a:avLst/>
                          </a:prstGeom>
                          <a:solidFill>
                            <a:schemeClr val="lt1"/>
                          </a:solidFill>
                          <a:ln w="31750">
                            <a:solidFill>
                              <a:srgbClr val="F04034"/>
                            </a:solidFill>
                          </a:ln>
                        </wps:spPr>
                        <wps:txbx>
                          <w:txbxContent>
                            <w:p w14:paraId="24B70527" w14:textId="77777777" w:rsidR="00DF4FBB" w:rsidRPr="006A2E1D" w:rsidRDefault="00DF4FBB" w:rsidP="006A2E1D">
                              <w:pPr>
                                <w:spacing w:after="0" w:line="240" w:lineRule="auto"/>
                                <w:rPr>
                                  <w:b/>
                                  <w:bCs/>
                                  <w:color w:val="F04034"/>
                                  <w:sz w:val="28"/>
                                  <w:szCs w:val="28"/>
                                </w:rPr>
                              </w:pPr>
                              <w:r w:rsidRPr="006A2E1D">
                                <w:rPr>
                                  <w:b/>
                                  <w:bCs/>
                                  <w:color w:val="F04034"/>
                                  <w:sz w:val="28"/>
                                  <w:szCs w:val="28"/>
                                </w:rPr>
                                <w:t>Outcome</w:t>
                              </w:r>
                            </w:p>
                            <w:p w14:paraId="6598A37A" w14:textId="77777777" w:rsidR="00F80ADF" w:rsidRDefault="00F80ADF" w:rsidP="00F80ADF">
                              <w:pPr>
                                <w:spacing w:after="0" w:line="240" w:lineRule="auto"/>
                                <w:rPr>
                                  <w:color w:val="auto"/>
                                  <w:sz w:val="24"/>
                                </w:rPr>
                              </w:pPr>
                              <w:r w:rsidRPr="00F80ADF">
                                <w:rPr>
                                  <w:color w:val="auto"/>
                                  <w:sz w:val="24"/>
                                </w:rPr>
                                <w:t xml:space="preserve">The government has carefully considered all responses. </w:t>
                              </w:r>
                            </w:p>
                            <w:p w14:paraId="2B51B561" w14:textId="77777777" w:rsidR="00F80ADF" w:rsidRDefault="00F80ADF" w:rsidP="00F80ADF">
                              <w:pPr>
                                <w:spacing w:after="0" w:line="240" w:lineRule="auto"/>
                                <w:rPr>
                                  <w:color w:val="auto"/>
                                  <w:sz w:val="24"/>
                                </w:rPr>
                              </w:pPr>
                            </w:p>
                            <w:p w14:paraId="3EC517DB" w14:textId="77777777" w:rsidR="00F80ADF" w:rsidRDefault="00F80ADF" w:rsidP="00F80ADF">
                              <w:pPr>
                                <w:spacing w:after="0" w:line="240" w:lineRule="auto"/>
                                <w:rPr>
                                  <w:color w:val="auto"/>
                                  <w:sz w:val="24"/>
                                </w:rPr>
                              </w:pPr>
                              <w:r w:rsidRPr="00F80ADF">
                                <w:rPr>
                                  <w:color w:val="auto"/>
                                  <w:sz w:val="24"/>
                                </w:rPr>
                                <w:t xml:space="preserve">While there is a clear mandate to strengthen statutory guidance, respondents </w:t>
                              </w:r>
                            </w:p>
                            <w:p w14:paraId="373F382C" w14:textId="77777777" w:rsidR="00F80ADF" w:rsidRDefault="00F80ADF" w:rsidP="00F80ADF">
                              <w:pPr>
                                <w:spacing w:after="0" w:line="240" w:lineRule="auto"/>
                                <w:rPr>
                                  <w:color w:val="auto"/>
                                  <w:sz w:val="24"/>
                                </w:rPr>
                              </w:pPr>
                              <w:r w:rsidRPr="00F80ADF">
                                <w:rPr>
                                  <w:color w:val="auto"/>
                                  <w:sz w:val="24"/>
                                </w:rPr>
                                <w:t xml:space="preserve">consistently highlighted challenges relating to capacity, funding, workforce </w:t>
                              </w:r>
                            </w:p>
                            <w:p w14:paraId="1C841704" w14:textId="2A310FFD" w:rsidR="00F80ADF" w:rsidRDefault="00F80ADF" w:rsidP="00F80ADF">
                              <w:pPr>
                                <w:spacing w:after="0" w:line="240" w:lineRule="auto"/>
                                <w:rPr>
                                  <w:color w:val="auto"/>
                                  <w:sz w:val="24"/>
                                </w:rPr>
                              </w:pPr>
                              <w:r w:rsidRPr="00F80ADF">
                                <w:rPr>
                                  <w:color w:val="auto"/>
                                  <w:sz w:val="24"/>
                                </w:rPr>
                                <w:t xml:space="preserve">capability, training delivery, and clarity of responsibility between education and health systems. </w:t>
                              </w:r>
                            </w:p>
                            <w:p w14:paraId="7BA1D43F" w14:textId="77777777" w:rsidR="00F80ADF" w:rsidRDefault="00F80ADF" w:rsidP="00F80ADF">
                              <w:pPr>
                                <w:spacing w:after="0" w:line="240" w:lineRule="auto"/>
                                <w:rPr>
                                  <w:color w:val="auto"/>
                                  <w:sz w:val="24"/>
                                </w:rPr>
                              </w:pPr>
                            </w:p>
                            <w:p w14:paraId="305E969E" w14:textId="7AF8C33D" w:rsidR="00F80ADF" w:rsidRDefault="00F80ADF" w:rsidP="00F80ADF">
                              <w:pPr>
                                <w:spacing w:after="0" w:line="240" w:lineRule="auto"/>
                                <w:rPr>
                                  <w:color w:val="auto"/>
                                  <w:sz w:val="24"/>
                                </w:rPr>
                              </w:pPr>
                              <w:r>
                                <w:rPr>
                                  <w:color w:val="auto"/>
                                  <w:sz w:val="24"/>
                                </w:rPr>
                                <w:t>They</w:t>
                              </w:r>
                              <w:r w:rsidRPr="00F80ADF">
                                <w:rPr>
                                  <w:color w:val="auto"/>
                                  <w:sz w:val="24"/>
                                </w:rPr>
                                <w:t xml:space="preserve"> will revise the draft statutory guidance to reflect the points raised. However, </w:t>
                              </w:r>
                              <w:r>
                                <w:rPr>
                                  <w:color w:val="auto"/>
                                  <w:sz w:val="24"/>
                                </w:rPr>
                                <w:t>they</w:t>
                              </w:r>
                              <w:r w:rsidRPr="00F80ADF">
                                <w:rPr>
                                  <w:color w:val="auto"/>
                                  <w:sz w:val="24"/>
                                </w:rPr>
                                <w:t xml:space="preserve"> recognise that further work is needed to clarify the respective roles and responsibilities of education settings and of healthcare professionals. </w:t>
                              </w:r>
                              <w:r>
                                <w:rPr>
                                  <w:color w:val="auto"/>
                                  <w:sz w:val="24"/>
                                </w:rPr>
                                <w:t>They</w:t>
                              </w:r>
                              <w:r w:rsidRPr="00F80ADF">
                                <w:rPr>
                                  <w:color w:val="auto"/>
                                  <w:sz w:val="24"/>
                                </w:rPr>
                                <w:t xml:space="preserve"> will take this forward with the Department of Health and Social Care before publishing updated statutory guidance for education settings on supporting children and young people with medical conditions in due course. </w:t>
                              </w:r>
                            </w:p>
                            <w:p w14:paraId="18D4AFF6" w14:textId="77777777" w:rsidR="00F80ADF" w:rsidRDefault="00F80ADF" w:rsidP="00F80ADF">
                              <w:pPr>
                                <w:spacing w:after="0" w:line="240" w:lineRule="auto"/>
                                <w:rPr>
                                  <w:color w:val="auto"/>
                                  <w:sz w:val="24"/>
                                </w:rPr>
                              </w:pPr>
                            </w:p>
                            <w:p w14:paraId="237AE3C7" w14:textId="443C078E" w:rsidR="00DF4FBB" w:rsidRPr="006A2E1D" w:rsidRDefault="00F80ADF" w:rsidP="00F80ADF">
                              <w:pPr>
                                <w:spacing w:after="0" w:line="240" w:lineRule="auto"/>
                                <w:rPr>
                                  <w:color w:val="auto"/>
                                  <w:sz w:val="24"/>
                                </w:rPr>
                              </w:pPr>
                              <w:r w:rsidRPr="00F80ADF">
                                <w:rPr>
                                  <w:color w:val="auto"/>
                                  <w:sz w:val="24"/>
                                </w:rPr>
                                <w:t xml:space="preserve">There was clearer consensus over the importance of supporting children and young people with allergies. Since the consultation began, the Children’s Wellbeing and Schools Act 2026 has introduced new statutory duties on schools to put allergy safety policies in place. </w:t>
                              </w:r>
                              <w:r>
                                <w:rPr>
                                  <w:color w:val="auto"/>
                                  <w:sz w:val="24"/>
                                </w:rPr>
                                <w:t>They</w:t>
                              </w:r>
                              <w:r w:rsidRPr="00F80ADF">
                                <w:rPr>
                                  <w:color w:val="auto"/>
                                  <w:sz w:val="24"/>
                                </w:rPr>
                                <w:t xml:space="preserve"> will therefore publish statutory guidance on allergy safety, reflecting feedback received through the consultation.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94270327" name="Text Box 3"/>
                        <wps:cNvSpPr txBox="1"/>
                        <wps:spPr>
                          <a:xfrm>
                            <a:off x="5062277" y="4445231"/>
                            <a:ext cx="1081348" cy="840105"/>
                          </a:xfrm>
                          <a:prstGeom prst="rect">
                            <a:avLst/>
                          </a:prstGeom>
                          <a:solidFill>
                            <a:schemeClr val="lt1"/>
                          </a:solidFill>
                          <a:ln w="31750">
                            <a:solidFill>
                              <a:srgbClr val="3333CC"/>
                            </a:solidFill>
                          </a:ln>
                        </wps:spPr>
                        <wps:txbx>
                          <w:txbxContent>
                            <w:p w14:paraId="6572AD7E" w14:textId="487A600C" w:rsidR="00DF4FBB" w:rsidRDefault="00DF4FBB" w:rsidP="006A2E1D">
                              <w:pPr>
                                <w:spacing w:after="0" w:line="240" w:lineRule="auto"/>
                                <w:rPr>
                                  <w:color w:val="3333CC"/>
                                  <w:sz w:val="28"/>
                                  <w:szCs w:val="28"/>
                                </w:rPr>
                              </w:pPr>
                              <w:r w:rsidRPr="006A2E1D">
                                <w:rPr>
                                  <w:b/>
                                  <w:bCs/>
                                  <w:color w:val="3333CC"/>
                                  <w:sz w:val="28"/>
                                  <w:szCs w:val="28"/>
                                </w:rPr>
                                <w:t>Obligation</w:t>
                              </w:r>
                              <w:r w:rsidRPr="006A2E1D">
                                <w:rPr>
                                  <w:color w:val="3333CC"/>
                                  <w:sz w:val="28"/>
                                  <w:szCs w:val="28"/>
                                </w:rPr>
                                <w:t xml:space="preserve"> </w:t>
                              </w:r>
                            </w:p>
                            <w:p w14:paraId="19681145" w14:textId="3E18475A" w:rsidR="008E4580" w:rsidRDefault="008E4580" w:rsidP="006A2E1D">
                              <w:pPr>
                                <w:spacing w:after="0" w:line="240" w:lineRule="auto"/>
                                <w:rPr>
                                  <w:color w:val="3333CC"/>
                                  <w:sz w:val="28"/>
                                  <w:szCs w:val="28"/>
                                </w:rPr>
                              </w:pPr>
                              <w:r>
                                <w:rPr>
                                  <w:noProof/>
                                </w:rPr>
                                <w:drawing>
                                  <wp:inline distT="0" distB="0" distL="0" distR="0" wp14:anchorId="45F661E1" wp14:editId="44761F10">
                                    <wp:extent cx="431800" cy="431800"/>
                                    <wp:effectExtent l="0" t="0" r="6350" b="6350"/>
                                    <wp:docPr id="20095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8021" name=""/>
                                            <pic:cNvPicPr/>
                                          </pic:nvPicPr>
                                          <pic:blipFill>
                                            <a:blip r:embed="rId11"/>
                                            <a:stretch>
                                              <a:fillRect/>
                                            </a:stretch>
                                          </pic:blipFill>
                                          <pic:spPr>
                                            <a:xfrm>
                                              <a:off x="0" y="0"/>
                                              <a:ext cx="432327" cy="432327"/>
                                            </a:xfrm>
                                            <a:prstGeom prst="rect">
                                              <a:avLst/>
                                            </a:prstGeom>
                                          </pic:spPr>
                                        </pic:pic>
                                      </a:graphicData>
                                    </a:graphic>
                                  </wp:inline>
                                </w:drawing>
                              </w:r>
                              <w:r>
                                <w:rPr>
                                  <w:noProof/>
                                </w:rPr>
                                <w:drawing>
                                  <wp:inline distT="0" distB="0" distL="0" distR="0" wp14:anchorId="1E76E901" wp14:editId="468BB74F">
                                    <wp:extent cx="410456" cy="414866"/>
                                    <wp:effectExtent l="0" t="0" r="8890" b="0"/>
                                    <wp:docPr id="80593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31366" name=""/>
                                            <pic:cNvPicPr/>
                                          </pic:nvPicPr>
                                          <pic:blipFill>
                                            <a:blip r:embed="rId12"/>
                                            <a:stretch>
                                              <a:fillRect/>
                                            </a:stretch>
                                          </pic:blipFill>
                                          <pic:spPr>
                                            <a:xfrm>
                                              <a:off x="0" y="0"/>
                                              <a:ext cx="410456" cy="414866"/>
                                            </a:xfrm>
                                            <a:prstGeom prst="rect">
                                              <a:avLst/>
                                            </a:prstGeom>
                                          </pic:spPr>
                                        </pic:pic>
                                      </a:graphicData>
                                    </a:graphic>
                                  </wp:inline>
                                </w:drawing>
                              </w:r>
                            </w:p>
                            <w:p w14:paraId="62B88B78" w14:textId="77777777" w:rsidR="008E4580" w:rsidRDefault="008E4580" w:rsidP="006A2E1D">
                              <w:pPr>
                                <w:spacing w:after="0" w:line="240" w:lineRule="auto"/>
                                <w:rPr>
                                  <w:color w:val="3333CC"/>
                                  <w:sz w:val="28"/>
                                  <w:szCs w:val="28"/>
                                </w:rPr>
                              </w:pPr>
                            </w:p>
                            <w:p w14:paraId="0E522D0F" w14:textId="1AF4C028" w:rsidR="008E4580" w:rsidRDefault="008E4580" w:rsidP="008E4580">
                              <w:pPr>
                                <w:pStyle w:val="NormalWeb"/>
                                <w:jc w:val="center"/>
                                <w:rPr>
                                  <w:sz w:val="80"/>
                                  <w:szCs w:val="80"/>
                                </w:rPr>
                              </w:pPr>
                              <w:r>
                                <w:rPr>
                                  <w:color w:val="FFFFFF"/>
                                  <w:sz w:val="80"/>
                                  <w:szCs w:val="80"/>
                                </w:rPr>
                                <w:t>We support Child Friendly Leeds wish</w:t>
                              </w:r>
                            </w:p>
                            <w:p w14:paraId="2FE59C3F" w14:textId="77777777" w:rsidR="006A2E1D" w:rsidRPr="006A2E1D" w:rsidRDefault="006A2E1D" w:rsidP="006A2E1D">
                              <w:pPr>
                                <w:spacing w:after="0" w:line="240" w:lineRule="auto"/>
                                <w:rPr>
                                  <w:color w:val="3333CC"/>
                                  <w:sz w:val="28"/>
                                  <w:szCs w:val="28"/>
                                </w:rPr>
                              </w:pPr>
                            </w:p>
                            <w:p w14:paraId="16F48BD0" w14:textId="77777777" w:rsidR="00716E93" w:rsidRDefault="00716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1020530" name="Text Box 4"/>
                        <wps:cNvSpPr txBox="1"/>
                        <wps:spPr>
                          <a:xfrm>
                            <a:off x="0" y="-1"/>
                            <a:ext cx="6197600" cy="1857375"/>
                          </a:xfrm>
                          <a:prstGeom prst="rect">
                            <a:avLst/>
                          </a:prstGeom>
                          <a:solidFill>
                            <a:schemeClr val="lt1"/>
                          </a:solidFill>
                          <a:ln w="31750">
                            <a:solidFill>
                              <a:srgbClr val="FF0000"/>
                            </a:solidFill>
                          </a:ln>
                        </wps:spPr>
                        <wps:txbx>
                          <w:txbxContent>
                            <w:p w14:paraId="2B114AEA" w14:textId="4CFFACF3" w:rsidR="00D8155F" w:rsidRPr="006A2E1D" w:rsidRDefault="00D8155F" w:rsidP="006A2E1D">
                              <w:pPr>
                                <w:spacing w:after="0" w:line="240" w:lineRule="auto"/>
                                <w:rPr>
                                  <w:b/>
                                  <w:bCs/>
                                  <w:color w:val="F04034"/>
                                  <w:sz w:val="28"/>
                                  <w:szCs w:val="28"/>
                                </w:rPr>
                              </w:pPr>
                              <w:r w:rsidRPr="006A2E1D">
                                <w:rPr>
                                  <w:b/>
                                  <w:bCs/>
                                  <w:color w:val="F04034"/>
                                  <w:sz w:val="28"/>
                                  <w:szCs w:val="28"/>
                                </w:rPr>
                                <w:t>Op</w:t>
                              </w:r>
                              <w:r w:rsidR="00BE2CD9">
                                <w:rPr>
                                  <w:b/>
                                  <w:bCs/>
                                  <w:color w:val="F04034"/>
                                  <w:sz w:val="28"/>
                                  <w:szCs w:val="28"/>
                                </w:rPr>
                                <w:t>ening</w:t>
                              </w:r>
                            </w:p>
                            <w:p w14:paraId="52746715" w14:textId="706C28C8" w:rsidR="00D8155F" w:rsidRDefault="00F80ADF" w:rsidP="00F80ADF">
                              <w:pPr>
                                <w:spacing w:after="0" w:line="240" w:lineRule="auto"/>
                                <w:rPr>
                                  <w:color w:val="auto"/>
                                  <w:sz w:val="24"/>
                                </w:rPr>
                              </w:pPr>
                              <w:r w:rsidRPr="00F80ADF">
                                <w:rPr>
                                  <w:color w:val="auto"/>
                                  <w:sz w:val="24"/>
                                </w:rPr>
                                <w:t>The government consulted on proposals to strengthen statutory guidance on supporting children and young people with medical conditions and allergies in education settings. The consultation sought views on a range of key issues, including clarity of responsibility, the role and use of Individual Healthcare Plans (IHPs), staff training, allergy safety, the reporting of incidents and near misses, and the scope of statutory duties across different types of education provision.</w:t>
                              </w:r>
                            </w:p>
                            <w:p w14:paraId="18C128DA" w14:textId="77777777" w:rsidR="00F80ADF" w:rsidRDefault="00F80ADF" w:rsidP="00F80ADF">
                              <w:pPr>
                                <w:spacing w:after="0" w:line="240" w:lineRule="auto"/>
                                <w:rPr>
                                  <w:color w:val="auto"/>
                                  <w:sz w:val="24"/>
                                </w:rPr>
                              </w:pPr>
                            </w:p>
                            <w:p w14:paraId="30AA7413" w14:textId="23513EFE" w:rsidR="00F80ADF" w:rsidRPr="006A2E1D" w:rsidRDefault="00F80ADF" w:rsidP="00F80ADF">
                              <w:pPr>
                                <w:spacing w:after="0" w:line="240" w:lineRule="auto"/>
                                <w:rPr>
                                  <w:color w:val="auto"/>
                                  <w:sz w:val="24"/>
                                </w:rPr>
                              </w:pPr>
                              <w:r>
                                <w:t>1,882 responses submitted via the online consultation platform and a further 27 responses received by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D241FE" id="Group 1" o:spid="_x0000_s1026" style="position:absolute;left:0;text-align:left;margin-left:14.45pt;margin-top:5.45pt;width:490.5pt;height:631.5pt;z-index:251660291;mso-width-relative:margin;mso-height-relative:margin" coordorigin="-95" coordsize="62293,8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">
                <v:shapetype id="_x0000_t202" coordsize="21600,21600" o:spt="202" path="m,l,21600r21600,l21600,xe">
                  <v:stroke joinstyle="miter"/>
                  <v:path gradientshapeok="t" o:connecttype="rect"/>
                </v:shapetype>
                <v:shape id="Text Box 2" o:spid="_x0000_s1027" type="#_x0000_t202" style="position:absolute;left:-95;top:19470;width:62198;height:2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" fillcolor="white [3201]" strokecolor="#33c" strokeweight="2.5pt">
                  <v:textbox>
                    <w:txbxContent>
                      <w:p w14:paraId="475719A5" w14:textId="77777777" w:rsidR="00DF4FBB" w:rsidRPr="006A2E1D" w:rsidRDefault="00DF4FBB" w:rsidP="006A2E1D">
                        <w:pPr>
                          <w:spacing w:after="0" w:line="240" w:lineRule="auto"/>
                          <w:rPr>
                            <w:b/>
                            <w:bCs/>
                            <w:color w:val="3333CC"/>
                            <w:sz w:val="28"/>
                            <w:szCs w:val="28"/>
                          </w:rPr>
                        </w:pPr>
                        <w:r w:rsidRPr="006A2E1D">
                          <w:rPr>
                            <w:b/>
                            <w:bCs/>
                            <w:color w:val="3333CC"/>
                            <w:sz w:val="28"/>
                            <w:szCs w:val="28"/>
                          </w:rPr>
                          <w:t>Opportunity</w:t>
                        </w:r>
                      </w:p>
                      <w:p w14:paraId="0D5067EC" w14:textId="77777777" w:rsidR="00F80ADF" w:rsidRDefault="00F80ADF" w:rsidP="00F80ADF">
                        <w:pPr>
                          <w:spacing w:after="0" w:line="240" w:lineRule="auto"/>
                          <w:rPr>
                            <w:color w:val="auto"/>
                            <w:sz w:val="24"/>
                          </w:rPr>
                        </w:pPr>
                        <w:r w:rsidRPr="00F80ADF">
                          <w:rPr>
                            <w:color w:val="auto"/>
                            <w:sz w:val="24"/>
                          </w:rPr>
                          <w:t xml:space="preserve">Across all questions: </w:t>
                        </w:r>
                      </w:p>
                      <w:p w14:paraId="11F17AC8" w14:textId="33D9239C" w:rsidR="00F80ADF" w:rsidRDefault="00F80ADF" w:rsidP="00F80ADF">
                        <w:pPr>
                          <w:pStyle w:val="ListParagraph"/>
                          <w:numPr>
                            <w:ilvl w:val="0"/>
                            <w:numId w:val="1"/>
                          </w:numPr>
                          <w:spacing w:after="0" w:line="240" w:lineRule="auto"/>
                          <w:rPr>
                            <w:color w:val="auto"/>
                            <w:sz w:val="24"/>
                          </w:rPr>
                        </w:pPr>
                        <w:r w:rsidRPr="00F80ADF">
                          <w:rPr>
                            <w:color w:val="auto"/>
                            <w:sz w:val="24"/>
                          </w:rPr>
                          <w:t xml:space="preserve">A clear majority of respondents strongly agreed or agreed with the proposals, demonstrating consistent support for the direction of travel. Only two questions recorded “strongly agree” levels below 60% (both approximately 58%). When combining “agree” and “strongly agree” responses, no question fell below 84% agreement, with most questions achieving between 88% and 95% agreement. </w:t>
                        </w:r>
                      </w:p>
                      <w:p w14:paraId="5CB73439" w14:textId="77777777" w:rsidR="00F80ADF" w:rsidRDefault="00F80ADF" w:rsidP="00F80ADF">
                        <w:pPr>
                          <w:pStyle w:val="ListParagraph"/>
                          <w:numPr>
                            <w:ilvl w:val="0"/>
                            <w:numId w:val="1"/>
                          </w:numPr>
                          <w:spacing w:after="0" w:line="240" w:lineRule="auto"/>
                          <w:rPr>
                            <w:color w:val="auto"/>
                            <w:sz w:val="24"/>
                          </w:rPr>
                        </w:pPr>
                        <w:r w:rsidRPr="00F80ADF">
                          <w:rPr>
                            <w:color w:val="auto"/>
                            <w:sz w:val="24"/>
                          </w:rPr>
                          <w:t xml:space="preserve">Support was consistent across respondent groups, including parents, education staff, senior leaders, and healthcare professionals, indicating broad cross-sector alignment. </w:t>
                        </w:r>
                      </w:p>
                      <w:p w14:paraId="73286E5C" w14:textId="66DD8EAB" w:rsidR="00DF4FBB" w:rsidRPr="00F80ADF" w:rsidRDefault="00F80ADF" w:rsidP="00F80ADF">
                        <w:pPr>
                          <w:pStyle w:val="ListParagraph"/>
                          <w:numPr>
                            <w:ilvl w:val="0"/>
                            <w:numId w:val="1"/>
                          </w:numPr>
                          <w:spacing w:after="0" w:line="240" w:lineRule="auto"/>
                          <w:rPr>
                            <w:color w:val="auto"/>
                            <w:sz w:val="24"/>
                          </w:rPr>
                        </w:pPr>
                        <w:r w:rsidRPr="00F80ADF">
                          <w:rPr>
                            <w:color w:val="auto"/>
                            <w:sz w:val="24"/>
                          </w:rPr>
                          <w:t>Where disagreement was expressed, this focused primarily on implementation and delivery considerations, rather than opposition to the underlying principles.</w:t>
                        </w:r>
                      </w:p>
                    </w:txbxContent>
                  </v:textbox>
                </v:shape>
                <v:shape id="Text Box 2" o:spid="_x0000_s1028" type="#_x0000_t202" style="position:absolute;left:-95;top:43488;width:62293;height:36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" fillcolor="white [3201]" strokecolor="#f04034" strokeweight="2.5pt">
                  <v:textbox>
                    <w:txbxContent>
                      <w:p w14:paraId="24B70527" w14:textId="77777777" w:rsidR="00DF4FBB" w:rsidRPr="006A2E1D" w:rsidRDefault="00DF4FBB" w:rsidP="006A2E1D">
                        <w:pPr>
                          <w:spacing w:after="0" w:line="240" w:lineRule="auto"/>
                          <w:rPr>
                            <w:b/>
                            <w:bCs/>
                            <w:color w:val="F04034"/>
                            <w:sz w:val="28"/>
                            <w:szCs w:val="28"/>
                          </w:rPr>
                        </w:pPr>
                        <w:r w:rsidRPr="006A2E1D">
                          <w:rPr>
                            <w:b/>
                            <w:bCs/>
                            <w:color w:val="F04034"/>
                            <w:sz w:val="28"/>
                            <w:szCs w:val="28"/>
                          </w:rPr>
                          <w:t>Outcome</w:t>
                        </w:r>
                      </w:p>
                      <w:p w14:paraId="6598A37A" w14:textId="77777777" w:rsidR="00F80ADF" w:rsidRDefault="00F80ADF" w:rsidP="00F80ADF">
                        <w:pPr>
                          <w:spacing w:after="0" w:line="240" w:lineRule="auto"/>
                          <w:rPr>
                            <w:color w:val="auto"/>
                            <w:sz w:val="24"/>
                          </w:rPr>
                        </w:pPr>
                        <w:r w:rsidRPr="00F80ADF">
                          <w:rPr>
                            <w:color w:val="auto"/>
                            <w:sz w:val="24"/>
                          </w:rPr>
                          <w:t xml:space="preserve">The government has carefully considered all responses. </w:t>
                        </w:r>
                      </w:p>
                      <w:p w14:paraId="2B51B561" w14:textId="77777777" w:rsidR="00F80ADF" w:rsidRDefault="00F80ADF" w:rsidP="00F80ADF">
                        <w:pPr>
                          <w:spacing w:after="0" w:line="240" w:lineRule="auto"/>
                          <w:rPr>
                            <w:color w:val="auto"/>
                            <w:sz w:val="24"/>
                          </w:rPr>
                        </w:pPr>
                      </w:p>
                      <w:p w14:paraId="3EC517DB" w14:textId="77777777" w:rsidR="00F80ADF" w:rsidRDefault="00F80ADF" w:rsidP="00F80ADF">
                        <w:pPr>
                          <w:spacing w:after="0" w:line="240" w:lineRule="auto"/>
                          <w:rPr>
                            <w:color w:val="auto"/>
                            <w:sz w:val="24"/>
                          </w:rPr>
                        </w:pPr>
                        <w:r w:rsidRPr="00F80ADF">
                          <w:rPr>
                            <w:color w:val="auto"/>
                            <w:sz w:val="24"/>
                          </w:rPr>
                          <w:t xml:space="preserve">While there is a clear mandate to strengthen statutory guidance, respondents </w:t>
                        </w:r>
                      </w:p>
                      <w:p w14:paraId="373F382C" w14:textId="77777777" w:rsidR="00F80ADF" w:rsidRDefault="00F80ADF" w:rsidP="00F80ADF">
                        <w:pPr>
                          <w:spacing w:after="0" w:line="240" w:lineRule="auto"/>
                          <w:rPr>
                            <w:color w:val="auto"/>
                            <w:sz w:val="24"/>
                          </w:rPr>
                        </w:pPr>
                        <w:r w:rsidRPr="00F80ADF">
                          <w:rPr>
                            <w:color w:val="auto"/>
                            <w:sz w:val="24"/>
                          </w:rPr>
                          <w:t xml:space="preserve">consistently highlighted challenges relating to capacity, funding, workforce </w:t>
                        </w:r>
                      </w:p>
                      <w:p w14:paraId="1C841704" w14:textId="2A310FFD" w:rsidR="00F80ADF" w:rsidRDefault="00F80ADF" w:rsidP="00F80ADF">
                        <w:pPr>
                          <w:spacing w:after="0" w:line="240" w:lineRule="auto"/>
                          <w:rPr>
                            <w:color w:val="auto"/>
                            <w:sz w:val="24"/>
                          </w:rPr>
                        </w:pPr>
                        <w:r w:rsidRPr="00F80ADF">
                          <w:rPr>
                            <w:color w:val="auto"/>
                            <w:sz w:val="24"/>
                          </w:rPr>
                          <w:t xml:space="preserve">capability, training delivery, and clarity of responsibility between education and health systems. </w:t>
                        </w:r>
                      </w:p>
                      <w:p w14:paraId="7BA1D43F" w14:textId="77777777" w:rsidR="00F80ADF" w:rsidRDefault="00F80ADF" w:rsidP="00F80ADF">
                        <w:pPr>
                          <w:spacing w:after="0" w:line="240" w:lineRule="auto"/>
                          <w:rPr>
                            <w:color w:val="auto"/>
                            <w:sz w:val="24"/>
                          </w:rPr>
                        </w:pPr>
                      </w:p>
                      <w:p w14:paraId="305E969E" w14:textId="7AF8C33D" w:rsidR="00F80ADF" w:rsidRDefault="00F80ADF" w:rsidP="00F80ADF">
                        <w:pPr>
                          <w:spacing w:after="0" w:line="240" w:lineRule="auto"/>
                          <w:rPr>
                            <w:color w:val="auto"/>
                            <w:sz w:val="24"/>
                          </w:rPr>
                        </w:pPr>
                        <w:r>
                          <w:rPr>
                            <w:color w:val="auto"/>
                            <w:sz w:val="24"/>
                          </w:rPr>
                          <w:t>They</w:t>
                        </w:r>
                        <w:r w:rsidRPr="00F80ADF">
                          <w:rPr>
                            <w:color w:val="auto"/>
                            <w:sz w:val="24"/>
                          </w:rPr>
                          <w:t xml:space="preserve"> will revise the draft statutory guidance to reflect the points raised. However, </w:t>
                        </w:r>
                        <w:r>
                          <w:rPr>
                            <w:color w:val="auto"/>
                            <w:sz w:val="24"/>
                          </w:rPr>
                          <w:t>they</w:t>
                        </w:r>
                        <w:r w:rsidRPr="00F80ADF">
                          <w:rPr>
                            <w:color w:val="auto"/>
                            <w:sz w:val="24"/>
                          </w:rPr>
                          <w:t xml:space="preserve"> recognise that further work is needed to clarify the respective roles and responsibilities of education settings and of healthcare professionals. </w:t>
                        </w:r>
                        <w:r>
                          <w:rPr>
                            <w:color w:val="auto"/>
                            <w:sz w:val="24"/>
                          </w:rPr>
                          <w:t>They</w:t>
                        </w:r>
                        <w:r w:rsidRPr="00F80ADF">
                          <w:rPr>
                            <w:color w:val="auto"/>
                            <w:sz w:val="24"/>
                          </w:rPr>
                          <w:t xml:space="preserve"> will take this forward with the Department of Health and Social Care before publishing updated statutory guidance for education settings on supporting children and young people with medical conditions in due course. </w:t>
                        </w:r>
                      </w:p>
                      <w:p w14:paraId="18D4AFF6" w14:textId="77777777" w:rsidR="00F80ADF" w:rsidRDefault="00F80ADF" w:rsidP="00F80ADF">
                        <w:pPr>
                          <w:spacing w:after="0" w:line="240" w:lineRule="auto"/>
                          <w:rPr>
                            <w:color w:val="auto"/>
                            <w:sz w:val="24"/>
                          </w:rPr>
                        </w:pPr>
                      </w:p>
                      <w:p w14:paraId="237AE3C7" w14:textId="443C078E" w:rsidR="00DF4FBB" w:rsidRPr="006A2E1D" w:rsidRDefault="00F80ADF" w:rsidP="00F80ADF">
                        <w:pPr>
                          <w:spacing w:after="0" w:line="240" w:lineRule="auto"/>
                          <w:rPr>
                            <w:color w:val="auto"/>
                            <w:sz w:val="24"/>
                          </w:rPr>
                        </w:pPr>
                        <w:r w:rsidRPr="00F80ADF">
                          <w:rPr>
                            <w:color w:val="auto"/>
                            <w:sz w:val="24"/>
                          </w:rPr>
                          <w:t xml:space="preserve">There was clearer consensus over the importance of supporting children and young people with allergies. Since the consultation began, the Children’s Wellbeing and Schools Act 2026 has introduced new statutory duties on schools to put allergy safety policies in place. </w:t>
                        </w:r>
                        <w:r>
                          <w:rPr>
                            <w:color w:val="auto"/>
                            <w:sz w:val="24"/>
                          </w:rPr>
                          <w:t>They</w:t>
                        </w:r>
                        <w:r w:rsidRPr="00F80ADF">
                          <w:rPr>
                            <w:color w:val="auto"/>
                            <w:sz w:val="24"/>
                          </w:rPr>
                          <w:t xml:space="preserve"> will therefore publish statutory guidance on allergy safety, reflecting feedback received through the consultation.</w:t>
                        </w:r>
                      </w:p>
                    </w:txbxContent>
                  </v:textbox>
                </v:shape>
                <v:shape id="Text Box 3" o:spid="_x0000_s1029" type="#_x0000_t202" style="position:absolute;left:50622;top:44452;width:10814;height:8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" fillcolor="white [3201]" strokecolor="#33c" strokeweight="2.5pt">
                  <v:textbox>
                    <w:txbxContent>
                      <w:p w14:paraId="6572AD7E" w14:textId="487A600C" w:rsidR="00DF4FBB" w:rsidRDefault="00DF4FBB" w:rsidP="006A2E1D">
                        <w:pPr>
                          <w:spacing w:after="0" w:line="240" w:lineRule="auto"/>
                          <w:rPr>
                            <w:color w:val="3333CC"/>
                            <w:sz w:val="28"/>
                            <w:szCs w:val="28"/>
                          </w:rPr>
                        </w:pPr>
                        <w:r w:rsidRPr="006A2E1D">
                          <w:rPr>
                            <w:b/>
                            <w:bCs/>
                            <w:color w:val="3333CC"/>
                            <w:sz w:val="28"/>
                            <w:szCs w:val="28"/>
                          </w:rPr>
                          <w:t>Obligation</w:t>
                        </w:r>
                        <w:r w:rsidRPr="006A2E1D">
                          <w:rPr>
                            <w:color w:val="3333CC"/>
                            <w:sz w:val="28"/>
                            <w:szCs w:val="28"/>
                          </w:rPr>
                          <w:t xml:space="preserve"> </w:t>
                        </w:r>
                      </w:p>
                      <w:p w14:paraId="19681145" w14:textId="3E18475A" w:rsidR="008E4580" w:rsidRDefault="008E4580" w:rsidP="006A2E1D">
                        <w:pPr>
                          <w:spacing w:after="0" w:line="240" w:lineRule="auto"/>
                          <w:rPr>
                            <w:color w:val="3333CC"/>
                            <w:sz w:val="28"/>
                            <w:szCs w:val="28"/>
                          </w:rPr>
                        </w:pPr>
                        <w:r>
                          <w:rPr>
                            <w:noProof/>
                          </w:rPr>
                          <w:drawing>
                            <wp:inline distT="0" distB="0" distL="0" distR="0" wp14:anchorId="45F661E1" wp14:editId="44761F10">
                              <wp:extent cx="431800" cy="431800"/>
                              <wp:effectExtent l="0" t="0" r="6350" b="6350"/>
                              <wp:docPr id="20095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8021" name=""/>
                                      <pic:cNvPicPr/>
                                    </pic:nvPicPr>
                                    <pic:blipFill>
                                      <a:blip r:embed="rId11"/>
                                      <a:stretch>
                                        <a:fillRect/>
                                      </a:stretch>
                                    </pic:blipFill>
                                    <pic:spPr>
                                      <a:xfrm>
                                        <a:off x="0" y="0"/>
                                        <a:ext cx="432327" cy="432327"/>
                                      </a:xfrm>
                                      <a:prstGeom prst="rect">
                                        <a:avLst/>
                                      </a:prstGeom>
                                    </pic:spPr>
                                  </pic:pic>
                                </a:graphicData>
                              </a:graphic>
                            </wp:inline>
                          </w:drawing>
                        </w:r>
                        <w:r>
                          <w:rPr>
                            <w:noProof/>
                          </w:rPr>
                          <w:drawing>
                            <wp:inline distT="0" distB="0" distL="0" distR="0" wp14:anchorId="1E76E901" wp14:editId="468BB74F">
                              <wp:extent cx="410456" cy="414866"/>
                              <wp:effectExtent l="0" t="0" r="8890" b="0"/>
                              <wp:docPr id="80593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31366" name=""/>
                                      <pic:cNvPicPr/>
                                    </pic:nvPicPr>
                                    <pic:blipFill>
                                      <a:blip r:embed="rId12"/>
                                      <a:stretch>
                                        <a:fillRect/>
                                      </a:stretch>
                                    </pic:blipFill>
                                    <pic:spPr>
                                      <a:xfrm>
                                        <a:off x="0" y="0"/>
                                        <a:ext cx="410456" cy="414866"/>
                                      </a:xfrm>
                                      <a:prstGeom prst="rect">
                                        <a:avLst/>
                                      </a:prstGeom>
                                    </pic:spPr>
                                  </pic:pic>
                                </a:graphicData>
                              </a:graphic>
                            </wp:inline>
                          </w:drawing>
                        </w:r>
                      </w:p>
                      <w:p w14:paraId="62B88B78" w14:textId="77777777" w:rsidR="008E4580" w:rsidRDefault="008E4580" w:rsidP="006A2E1D">
                        <w:pPr>
                          <w:spacing w:after="0" w:line="240" w:lineRule="auto"/>
                          <w:rPr>
                            <w:color w:val="3333CC"/>
                            <w:sz w:val="28"/>
                            <w:szCs w:val="28"/>
                          </w:rPr>
                        </w:pPr>
                      </w:p>
                      <w:p w14:paraId="0E522D0F" w14:textId="1AF4C028" w:rsidR="008E4580" w:rsidRDefault="008E4580" w:rsidP="008E4580">
                        <w:pPr>
                          <w:pStyle w:val="NormalWeb"/>
                          <w:jc w:val="center"/>
                          <w:rPr>
                            <w:sz w:val="80"/>
                            <w:szCs w:val="80"/>
                          </w:rPr>
                        </w:pPr>
                        <w:r>
                          <w:rPr>
                            <w:color w:val="FFFFFF"/>
                            <w:sz w:val="80"/>
                            <w:szCs w:val="80"/>
                          </w:rPr>
                          <w:t>We support Child Friendly Leeds wish</w:t>
                        </w:r>
                      </w:p>
                      <w:p w14:paraId="2FE59C3F" w14:textId="77777777" w:rsidR="006A2E1D" w:rsidRPr="006A2E1D" w:rsidRDefault="006A2E1D" w:rsidP="006A2E1D">
                        <w:pPr>
                          <w:spacing w:after="0" w:line="240" w:lineRule="auto"/>
                          <w:rPr>
                            <w:color w:val="3333CC"/>
                            <w:sz w:val="28"/>
                            <w:szCs w:val="28"/>
                          </w:rPr>
                        </w:pPr>
                      </w:p>
                      <w:p w14:paraId="16F48BD0" w14:textId="77777777" w:rsidR="00716E93" w:rsidRDefault="00716E93"/>
                    </w:txbxContent>
                  </v:textbox>
                </v:shape>
                <v:shape id="Text Box 4" o:spid="_x0000_s1030" type="#_x0000_t202" style="position:absolute;width:61976;height:18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" fillcolor="white [3201]" strokecolor="red" strokeweight="2.5pt">
                  <v:textbox>
                    <w:txbxContent>
                      <w:p w14:paraId="2B114AEA" w14:textId="4CFFACF3" w:rsidR="00D8155F" w:rsidRPr="006A2E1D" w:rsidRDefault="00D8155F" w:rsidP="006A2E1D">
                        <w:pPr>
                          <w:spacing w:after="0" w:line="240" w:lineRule="auto"/>
                          <w:rPr>
                            <w:b/>
                            <w:bCs/>
                            <w:color w:val="F04034"/>
                            <w:sz w:val="28"/>
                            <w:szCs w:val="28"/>
                          </w:rPr>
                        </w:pPr>
                        <w:r w:rsidRPr="006A2E1D">
                          <w:rPr>
                            <w:b/>
                            <w:bCs/>
                            <w:color w:val="F04034"/>
                            <w:sz w:val="28"/>
                            <w:szCs w:val="28"/>
                          </w:rPr>
                          <w:t>Op</w:t>
                        </w:r>
                        <w:r w:rsidR="00BE2CD9">
                          <w:rPr>
                            <w:b/>
                            <w:bCs/>
                            <w:color w:val="F04034"/>
                            <w:sz w:val="28"/>
                            <w:szCs w:val="28"/>
                          </w:rPr>
                          <w:t>ening</w:t>
                        </w:r>
                      </w:p>
                      <w:p w14:paraId="52746715" w14:textId="706C28C8" w:rsidR="00D8155F" w:rsidRDefault="00F80ADF" w:rsidP="00F80ADF">
                        <w:pPr>
                          <w:spacing w:after="0" w:line="240" w:lineRule="auto"/>
                          <w:rPr>
                            <w:color w:val="auto"/>
                            <w:sz w:val="24"/>
                          </w:rPr>
                        </w:pPr>
                        <w:r w:rsidRPr="00F80ADF">
                          <w:rPr>
                            <w:color w:val="auto"/>
                            <w:sz w:val="24"/>
                          </w:rPr>
                          <w:t>The government consulted on proposals to strengthen statutory guidance on supporting children and young people with medical conditions and allergies in education settings. The consultation sought views on a range of key issues, including clarity of responsibility, the role and use of Individual Healthcare Plans (IHPs), staff training, allergy safety, the reporting of incidents and near misses, and the scope of statutory duties across different types of education provision.</w:t>
                        </w:r>
                      </w:p>
                      <w:p w14:paraId="18C128DA" w14:textId="77777777" w:rsidR="00F80ADF" w:rsidRDefault="00F80ADF" w:rsidP="00F80ADF">
                        <w:pPr>
                          <w:spacing w:after="0" w:line="240" w:lineRule="auto"/>
                          <w:rPr>
                            <w:color w:val="auto"/>
                            <w:sz w:val="24"/>
                          </w:rPr>
                        </w:pPr>
                      </w:p>
                      <w:p w14:paraId="30AA7413" w14:textId="23513EFE" w:rsidR="00F80ADF" w:rsidRPr="006A2E1D" w:rsidRDefault="00F80ADF" w:rsidP="00F80ADF">
                        <w:pPr>
                          <w:spacing w:after="0" w:line="240" w:lineRule="auto"/>
                          <w:rPr>
                            <w:color w:val="auto"/>
                            <w:sz w:val="24"/>
                          </w:rPr>
                        </w:pPr>
                        <w:r>
                          <w:t>1,882 responses submitted via the online consultation platform and a further 27 responses received by email.</w:t>
                        </w:r>
                      </w:p>
                    </w:txbxContent>
                  </v:textbox>
                </v:shape>
              </v:group>
            </w:pict>
          </mc:Fallback>
        </mc:AlternateContent>
      </w:r>
    </w:p>
    <w:p w14:paraId="010D6271" w14:textId="31AD0700" w:rsidR="00D8155F" w:rsidRDefault="00D8155F" w:rsidP="006A2E1D">
      <w:pPr>
        <w:spacing w:after="0" w:line="240" w:lineRule="auto"/>
        <w:ind w:left="97"/>
        <w:jc w:val="center"/>
        <w:rPr>
          <w:color w:val="7030A0"/>
          <w:sz w:val="36"/>
          <w:szCs w:val="36"/>
        </w:rPr>
      </w:pPr>
    </w:p>
    <w:p w14:paraId="60642AD4" w14:textId="77777777" w:rsidR="00731E79" w:rsidRDefault="00731E79" w:rsidP="006A2E1D">
      <w:pPr>
        <w:spacing w:after="0" w:line="240" w:lineRule="auto"/>
        <w:ind w:left="97"/>
        <w:jc w:val="center"/>
        <w:rPr>
          <w:color w:val="7030A0"/>
          <w:sz w:val="36"/>
          <w:szCs w:val="36"/>
        </w:rPr>
      </w:pPr>
    </w:p>
    <w:p w14:paraId="00F32AE4" w14:textId="4E7E2D23" w:rsidR="00DF4FBB" w:rsidRPr="00D8155F" w:rsidRDefault="00DF4FBB" w:rsidP="006A2E1D">
      <w:pPr>
        <w:spacing w:after="0" w:line="240" w:lineRule="auto"/>
        <w:ind w:left="97"/>
        <w:jc w:val="center"/>
        <w:rPr>
          <w:color w:val="7030A0"/>
          <w:sz w:val="36"/>
          <w:szCs w:val="36"/>
        </w:rPr>
      </w:pPr>
    </w:p>
    <w:p w14:paraId="0D1D89B3" w14:textId="28B23D7C" w:rsidR="00DF4FBB" w:rsidRDefault="00DF4FBB" w:rsidP="006A2E1D">
      <w:pPr>
        <w:spacing w:after="0" w:line="240" w:lineRule="auto"/>
        <w:jc w:val="right"/>
      </w:pPr>
    </w:p>
    <w:p w14:paraId="1806DE53" w14:textId="580F036D" w:rsidR="00DF4FBB" w:rsidRDefault="00DF4FBB" w:rsidP="006A2E1D">
      <w:pPr>
        <w:spacing w:after="0" w:line="240" w:lineRule="auto"/>
        <w:jc w:val="right"/>
      </w:pPr>
    </w:p>
    <w:p w14:paraId="4385EBD6" w14:textId="27696B9A" w:rsidR="00DF4FBB" w:rsidRDefault="00DF4FBB" w:rsidP="006A2E1D">
      <w:pPr>
        <w:spacing w:after="0" w:line="240" w:lineRule="auto"/>
        <w:jc w:val="right"/>
      </w:pPr>
    </w:p>
    <w:p w14:paraId="5CFDE7AC" w14:textId="0E21855E" w:rsidR="00DF4FBB" w:rsidRDefault="00DF4FBB" w:rsidP="006A2E1D">
      <w:pPr>
        <w:spacing w:after="0" w:line="240" w:lineRule="auto"/>
        <w:jc w:val="right"/>
      </w:pPr>
    </w:p>
    <w:p w14:paraId="031768B8" w14:textId="103ACFEA" w:rsidR="00DF4FBB" w:rsidRDefault="00DF4FBB" w:rsidP="006A2E1D">
      <w:pPr>
        <w:spacing w:after="0" w:line="240" w:lineRule="auto"/>
        <w:jc w:val="right"/>
      </w:pPr>
    </w:p>
    <w:p w14:paraId="3DA3AFDB" w14:textId="1F1D4132" w:rsidR="00DF4FBB" w:rsidRDefault="00DF4FBB" w:rsidP="006A2E1D">
      <w:pPr>
        <w:spacing w:after="0" w:line="240" w:lineRule="auto"/>
      </w:pPr>
      <w:r>
        <w:br w:type="textWrapping" w:clear="all"/>
      </w:r>
    </w:p>
    <w:sectPr w:rsidR="00DF4FBB" w:rsidSect="006A2E1D">
      <w:pgSz w:w="11906" w:h="16838"/>
      <w:pgMar w:top="851" w:right="851" w:bottom="851" w:left="851" w:header="709" w:footer="709" w:gutter="0"/>
      <w:pgBorders w:offsetFrom="page">
        <w:top w:val="single" w:sz="36" w:space="24" w:color="7C0EDD"/>
        <w:left w:val="single" w:sz="36" w:space="24" w:color="7C0EDD"/>
        <w:bottom w:val="single" w:sz="36" w:space="24" w:color="7C0EDD"/>
        <w:right w:val="single" w:sz="36" w:space="24" w:color="7C0ED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AD1D" w14:textId="77777777" w:rsidR="006B0DFD" w:rsidRDefault="006B0DFD" w:rsidP="00604A19">
      <w:pPr>
        <w:spacing w:after="0" w:line="240" w:lineRule="auto"/>
      </w:pPr>
      <w:r>
        <w:separator/>
      </w:r>
    </w:p>
  </w:endnote>
  <w:endnote w:type="continuationSeparator" w:id="0">
    <w:p w14:paraId="5EEED53A" w14:textId="77777777" w:rsidR="006B0DFD" w:rsidRDefault="006B0DFD" w:rsidP="00604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7B990" w14:textId="77777777" w:rsidR="006B0DFD" w:rsidRDefault="006B0DFD" w:rsidP="00604A19">
      <w:pPr>
        <w:spacing w:after="0" w:line="240" w:lineRule="auto"/>
      </w:pPr>
      <w:r>
        <w:separator/>
      </w:r>
    </w:p>
  </w:footnote>
  <w:footnote w:type="continuationSeparator" w:id="0">
    <w:p w14:paraId="627AF06A" w14:textId="77777777" w:rsidR="006B0DFD" w:rsidRDefault="006B0DFD" w:rsidP="00604A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226AD"/>
    <w:multiLevelType w:val="hybridMultilevel"/>
    <w:tmpl w:val="E1AE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77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FBB"/>
    <w:rsid w:val="0000601A"/>
    <w:rsid w:val="000243F5"/>
    <w:rsid w:val="00111C31"/>
    <w:rsid w:val="00121352"/>
    <w:rsid w:val="002C57A9"/>
    <w:rsid w:val="00552279"/>
    <w:rsid w:val="005E6F12"/>
    <w:rsid w:val="00604A19"/>
    <w:rsid w:val="006A2E1D"/>
    <w:rsid w:val="006B0DFD"/>
    <w:rsid w:val="006E2A15"/>
    <w:rsid w:val="00716E93"/>
    <w:rsid w:val="00731E79"/>
    <w:rsid w:val="007C6662"/>
    <w:rsid w:val="008D4A79"/>
    <w:rsid w:val="008E4580"/>
    <w:rsid w:val="00A235D5"/>
    <w:rsid w:val="00AC4B03"/>
    <w:rsid w:val="00B10804"/>
    <w:rsid w:val="00B3389F"/>
    <w:rsid w:val="00B71765"/>
    <w:rsid w:val="00B777B5"/>
    <w:rsid w:val="00BB5E43"/>
    <w:rsid w:val="00BE2CD9"/>
    <w:rsid w:val="00C169DE"/>
    <w:rsid w:val="00CC56FA"/>
    <w:rsid w:val="00D8155F"/>
    <w:rsid w:val="00DF4FBB"/>
    <w:rsid w:val="00E310B7"/>
    <w:rsid w:val="00EC713B"/>
    <w:rsid w:val="00F80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9248B"/>
  <w15:chartTrackingRefBased/>
  <w15:docId w15:val="{EFC5459C-ED6F-4521-943D-ACA4FC4A8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FBB"/>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DF4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4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4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FBB"/>
    <w:rPr>
      <w:rFonts w:eastAsiaTheme="majorEastAsia" w:cstheme="majorBidi"/>
      <w:color w:val="272727" w:themeColor="text1" w:themeTint="D8"/>
    </w:rPr>
  </w:style>
  <w:style w:type="paragraph" w:styleId="Title">
    <w:name w:val="Title"/>
    <w:basedOn w:val="Normal"/>
    <w:next w:val="Normal"/>
    <w:link w:val="TitleChar"/>
    <w:uiPriority w:val="10"/>
    <w:qFormat/>
    <w:rsid w:val="00DF4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FBB"/>
    <w:pPr>
      <w:spacing w:before="160"/>
      <w:jc w:val="center"/>
    </w:pPr>
    <w:rPr>
      <w:i/>
      <w:iCs/>
      <w:color w:val="404040" w:themeColor="text1" w:themeTint="BF"/>
    </w:rPr>
  </w:style>
  <w:style w:type="character" w:customStyle="1" w:styleId="QuoteChar">
    <w:name w:val="Quote Char"/>
    <w:basedOn w:val="DefaultParagraphFont"/>
    <w:link w:val="Quote"/>
    <w:uiPriority w:val="29"/>
    <w:rsid w:val="00DF4FBB"/>
    <w:rPr>
      <w:i/>
      <w:iCs/>
      <w:color w:val="404040" w:themeColor="text1" w:themeTint="BF"/>
    </w:rPr>
  </w:style>
  <w:style w:type="paragraph" w:styleId="ListParagraph">
    <w:name w:val="List Paragraph"/>
    <w:basedOn w:val="Normal"/>
    <w:uiPriority w:val="34"/>
    <w:qFormat/>
    <w:rsid w:val="00DF4FBB"/>
    <w:pPr>
      <w:ind w:left="720"/>
      <w:contextualSpacing/>
    </w:pPr>
  </w:style>
  <w:style w:type="character" w:styleId="IntenseEmphasis">
    <w:name w:val="Intense Emphasis"/>
    <w:basedOn w:val="DefaultParagraphFont"/>
    <w:uiPriority w:val="21"/>
    <w:qFormat/>
    <w:rsid w:val="00DF4FBB"/>
    <w:rPr>
      <w:i/>
      <w:iCs/>
      <w:color w:val="0F4761" w:themeColor="accent1" w:themeShade="BF"/>
    </w:rPr>
  </w:style>
  <w:style w:type="paragraph" w:styleId="IntenseQuote">
    <w:name w:val="Intense Quote"/>
    <w:basedOn w:val="Normal"/>
    <w:next w:val="Normal"/>
    <w:link w:val="IntenseQuoteChar"/>
    <w:uiPriority w:val="30"/>
    <w:qFormat/>
    <w:rsid w:val="00DF4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FBB"/>
    <w:rPr>
      <w:i/>
      <w:iCs/>
      <w:color w:val="0F4761" w:themeColor="accent1" w:themeShade="BF"/>
    </w:rPr>
  </w:style>
  <w:style w:type="character" w:styleId="IntenseReference">
    <w:name w:val="Intense Reference"/>
    <w:basedOn w:val="DefaultParagraphFont"/>
    <w:uiPriority w:val="32"/>
    <w:qFormat/>
    <w:rsid w:val="00DF4FBB"/>
    <w:rPr>
      <w:b/>
      <w:bCs/>
      <w:smallCaps/>
      <w:color w:val="0F4761" w:themeColor="accent1" w:themeShade="BF"/>
      <w:spacing w:val="5"/>
    </w:rPr>
  </w:style>
  <w:style w:type="paragraph" w:styleId="Header">
    <w:name w:val="header"/>
    <w:basedOn w:val="Normal"/>
    <w:link w:val="HeaderChar"/>
    <w:uiPriority w:val="99"/>
    <w:unhideWhenUsed/>
    <w:rsid w:val="00604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A19"/>
    <w:rPr>
      <w:rFonts w:ascii="Calibri" w:eastAsia="Calibri" w:hAnsi="Calibri" w:cs="Calibri"/>
      <w:color w:val="000000"/>
      <w:sz w:val="22"/>
      <w:lang w:eastAsia="en-GB"/>
    </w:rPr>
  </w:style>
  <w:style w:type="paragraph" w:styleId="Footer">
    <w:name w:val="footer"/>
    <w:basedOn w:val="Normal"/>
    <w:link w:val="FooterChar"/>
    <w:uiPriority w:val="99"/>
    <w:unhideWhenUsed/>
    <w:rsid w:val="00604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A19"/>
    <w:rPr>
      <w:rFonts w:ascii="Calibri" w:eastAsia="Calibri" w:hAnsi="Calibri" w:cs="Calibri"/>
      <w:color w:val="000000"/>
      <w:sz w:val="22"/>
      <w:lang w:eastAsia="en-GB"/>
    </w:rPr>
  </w:style>
  <w:style w:type="paragraph" w:styleId="NormalWeb">
    <w:name w:val="Normal (Web)"/>
    <w:basedOn w:val="Normal"/>
    <w:uiPriority w:val="99"/>
    <w:unhideWhenUsed/>
    <w:rsid w:val="006A2E1D"/>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8114dd-57b6-405e-b8e2-a460972b153a">
      <Terms xmlns="http://schemas.microsoft.com/office/infopath/2007/PartnerControls"/>
    </lcf76f155ced4ddcb4097134ff3c332f>
    <TaxCatchAll xmlns="ac5c2849-74a1-46d7-ad44-587ab7d0a8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365D3033EC4F4B99C49ACA5E24D448" ma:contentTypeVersion="20" ma:contentTypeDescription="Create a new document." ma:contentTypeScope="" ma:versionID="ac6341655f46b40150b88b9e87d80839">
  <xsd:schema xmlns:xsd="http://www.w3.org/2001/XMLSchema" xmlns:xs="http://www.w3.org/2001/XMLSchema" xmlns:p="http://schemas.microsoft.com/office/2006/metadata/properties" xmlns:ns2="ac5c2849-74a1-46d7-ad44-587ab7d0a8b9" xmlns:ns3="898114dd-57b6-405e-b8e2-a460972b153a" targetNamespace="http://schemas.microsoft.com/office/2006/metadata/properties" ma:root="true" ma:fieldsID="1ffc38b3522ae3d0c3a77a45c4a7e0e6" ns2:_="" ns3:_="">
    <xsd:import namespace="ac5c2849-74a1-46d7-ad44-587ab7d0a8b9"/>
    <xsd:import namespace="898114dd-57b6-405e-b8e2-a460972b15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DocTag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98114dd-57b6-405e-b8e2-a460972b153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A0EB93-00A9-484D-A613-D37E452D326E}">
  <ds:schemaRefs>
    <ds:schemaRef ds:uri="http://schemas.microsoft.com/office/2006/metadata/properties"/>
    <ds:schemaRef ds:uri="http://schemas.microsoft.com/office/infopath/2007/PartnerControls"/>
    <ds:schemaRef ds:uri="898114dd-57b6-405e-b8e2-a460972b153a"/>
    <ds:schemaRef ds:uri="ac5c2849-74a1-46d7-ad44-587ab7d0a8b9"/>
  </ds:schemaRefs>
</ds:datastoreItem>
</file>

<file path=customXml/itemProps2.xml><?xml version="1.0" encoding="utf-8"?>
<ds:datastoreItem xmlns:ds="http://schemas.openxmlformats.org/officeDocument/2006/customXml" ds:itemID="{41005980-FCD8-4EFD-8DC7-3A7ACE76C6CE}">
  <ds:schemaRefs>
    <ds:schemaRef ds:uri="http://schemas.microsoft.com/sharepoint/v3/contenttype/forms"/>
  </ds:schemaRefs>
</ds:datastoreItem>
</file>

<file path=customXml/itemProps3.xml><?xml version="1.0" encoding="utf-8"?>
<ds:datastoreItem xmlns:ds="http://schemas.openxmlformats.org/officeDocument/2006/customXml" ds:itemID="{E2AFA15E-8C3A-4142-B40D-C62D60E591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c2849-74a1-46d7-ad44-587ab7d0a8b9"/>
    <ds:schemaRef ds:uri="898114dd-57b6-405e-b8e2-a460972b15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14</Words>
  <Characters>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Wicks, Danielle</dc:creator>
  <cp:keywords/>
  <dc:description/>
  <cp:lastModifiedBy>Thurlow, Kayleigh</cp:lastModifiedBy>
  <cp:revision>3</cp:revision>
  <dcterms:created xsi:type="dcterms:W3CDTF">2026-09-07T09:20:00Z</dcterms:created>
  <dcterms:modified xsi:type="dcterms:W3CDTF">2026-09-07T09:25:00Z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0x010100A8365D3033EC4F4B99C49ACA5E24D448</vt:lpwstr>
  </property>
  <property fmtid="{D5CDD505-2E9C-101B-9397-08002B2CF9AE}" pid="3" name="MediaServiceImageTags">
    <vt:lpwstr/>
  </property>
</Properties>
</file>